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A0A4" w14:textId="50DCE507" w:rsidR="00F06FCB" w:rsidRPr="00F06FCB" w:rsidRDefault="00F06FCB" w:rsidP="00F06FCB">
      <w:pPr>
        <w:spacing w:after="0" w:line="240" w:lineRule="auto"/>
        <w:jc w:val="center"/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</w:pPr>
      <w:r w:rsidRPr="00F06FCB">
        <w:rPr>
          <w:rFonts w:ascii="Avenir Next LT Pro" w:hAnsi="Avenir Next LT Pro" w:cs="Segoe UI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56787258" wp14:editId="20EBAEBA">
            <wp:simplePos x="0" y="0"/>
            <wp:positionH relativeFrom="column">
              <wp:posOffset>5067300</wp:posOffset>
            </wp:positionH>
            <wp:positionV relativeFrom="paragraph">
              <wp:posOffset>114300</wp:posOffset>
            </wp:positionV>
            <wp:extent cx="1626235" cy="632923"/>
            <wp:effectExtent l="0" t="0" r="0" b="0"/>
            <wp:wrapNone/>
            <wp:docPr id="3" name="Picture 49572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72291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63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FCB">
        <w:rPr>
          <w:rFonts w:ascii="Avenir Next LT Pro" w:hAnsi="Avenir Next LT Pro" w:cs="Calibri"/>
          <w:noProof/>
          <w:color w:val="00206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0667CBE" wp14:editId="760EC833">
            <wp:simplePos x="0" y="0"/>
            <wp:positionH relativeFrom="column">
              <wp:posOffset>82550</wp:posOffset>
            </wp:positionH>
            <wp:positionV relativeFrom="paragraph">
              <wp:posOffset>139700</wp:posOffset>
            </wp:positionV>
            <wp:extent cx="1657350" cy="596265"/>
            <wp:effectExtent l="0" t="0" r="0" b="0"/>
            <wp:wrapNone/>
            <wp:docPr id="3757016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5560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AD4" w:rsidRPr="00F06FCB"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  <w:t xml:space="preserve">Research </w:t>
      </w:r>
    </w:p>
    <w:p w14:paraId="473BF7A1" w14:textId="456D9641" w:rsidR="00A97AD4" w:rsidRPr="00F06FCB" w:rsidRDefault="00A97AD4" w:rsidP="00F06FCB">
      <w:pPr>
        <w:spacing w:after="0" w:line="240" w:lineRule="auto"/>
        <w:jc w:val="center"/>
        <w:rPr>
          <w:rFonts w:ascii="Avenir Next LT Pro" w:hAnsi="Avenir Next LT Pro"/>
        </w:rPr>
      </w:pPr>
      <w:r w:rsidRPr="00F06FCB">
        <w:rPr>
          <w:rFonts w:ascii="Avenir Next LT Pro" w:hAnsi="Avenir Next LT Pro" w:cs="Calibri"/>
          <w:b/>
          <w:bCs/>
          <w:noProof/>
          <w:color w:val="002060"/>
          <w:sz w:val="52"/>
          <w:szCs w:val="52"/>
        </w:rPr>
        <w:t>Opportunity</w:t>
      </w:r>
      <w:r w:rsidRPr="00F06FCB">
        <w:rPr>
          <w:rFonts w:ascii="Avenir Next LT Pro" w:hAnsi="Avenir Next LT Pro"/>
          <w:b/>
          <w:bCs/>
          <w:sz w:val="44"/>
          <w:szCs w:val="44"/>
        </w:rPr>
        <w:t xml:space="preserve">     </w:t>
      </w:r>
      <w:r w:rsidRPr="00F06FCB">
        <w:rPr>
          <w:rFonts w:ascii="Avenir Next LT Pro" w:hAnsi="Avenir Next LT Pro"/>
        </w:rPr>
        <w:t xml:space="preserve">                 </w:t>
      </w:r>
    </w:p>
    <w:p w14:paraId="1E3F00B5" w14:textId="77777777" w:rsidR="00A97AD4" w:rsidRDefault="00A97AD4" w:rsidP="00925C8B"/>
    <w:p w14:paraId="50148B69" w14:textId="2C11E922" w:rsidR="00A97AD4" w:rsidRDefault="00FD7B21" w:rsidP="00925C8B">
      <w:pPr>
        <w:jc w:val="center"/>
      </w:pPr>
      <w:r>
        <w:t>NASA</w:t>
      </w:r>
      <w:r w:rsidR="004D57A1">
        <w:t xml:space="preserve"> MRI</w:t>
      </w:r>
      <w:r>
        <w:t xml:space="preserve"> BONE STUDY</w:t>
      </w:r>
    </w:p>
    <w:p w14:paraId="18FAF0ED" w14:textId="3CF9D28A" w:rsidR="00A97AD4" w:rsidRDefault="00925C8B" w:rsidP="00A97AD4">
      <w:r w:rsidRPr="002561FA">
        <w:rPr>
          <w:b/>
          <w:bCs/>
        </w:rPr>
        <w:t>Category:</w:t>
      </w:r>
      <w:r>
        <w:t xml:space="preserve"> </w:t>
      </w:r>
      <w:r w:rsidR="008E63DE">
        <w:t>Spinal Cord Injury</w:t>
      </w:r>
      <w:r w:rsidR="004D57A1">
        <w:t>/Radiology</w:t>
      </w:r>
    </w:p>
    <w:p w14:paraId="686D6A0E" w14:textId="15D3FBED" w:rsidR="002561FA" w:rsidRDefault="00A97AD4" w:rsidP="00A97AD4">
      <w:r w:rsidRPr="002561FA">
        <w:rPr>
          <w:b/>
          <w:bCs/>
        </w:rPr>
        <w:t>Description</w:t>
      </w:r>
      <w:r>
        <w:t>:</w:t>
      </w:r>
      <w:r w:rsidR="00925C8B">
        <w:t xml:space="preserve"> </w:t>
      </w:r>
      <w:r w:rsidR="00AB1F73">
        <w:t>This</w:t>
      </w:r>
      <w:r w:rsidR="00FD7B21">
        <w:t xml:space="preserve"> study </w:t>
      </w:r>
      <w:r w:rsidR="00AB1F73">
        <w:t>aims to</w:t>
      </w:r>
      <w:r w:rsidR="00FD7B21">
        <w:t xml:space="preserve"> </w:t>
      </w:r>
      <w:r w:rsidR="004E0A62">
        <w:t xml:space="preserve">determine </w:t>
      </w:r>
      <w:r w:rsidR="00AB1F73">
        <w:t>i</w:t>
      </w:r>
      <w:r w:rsidR="00F6333E">
        <w:t>f</w:t>
      </w:r>
      <w:r w:rsidR="00AB1F73">
        <w:t xml:space="preserve"> a new</w:t>
      </w:r>
      <w:r w:rsidR="004E0A62">
        <w:t xml:space="preserve"> </w:t>
      </w:r>
      <w:r w:rsidR="00AB1F73">
        <w:t>m</w:t>
      </w:r>
      <w:r w:rsidR="00AB1F73" w:rsidRPr="00AB1F73">
        <w:t xml:space="preserve">agnetic resonance imaging </w:t>
      </w:r>
      <w:r w:rsidR="006A742E">
        <w:t xml:space="preserve">(MRI) </w:t>
      </w:r>
      <w:r w:rsidR="00AB1F73">
        <w:t>technique</w:t>
      </w:r>
      <w:r w:rsidR="004E0A62">
        <w:t xml:space="preserve"> </w:t>
      </w:r>
      <w:r w:rsidR="00AB1F73">
        <w:t>can accurately</w:t>
      </w:r>
      <w:r w:rsidR="004E0A62">
        <w:t xml:space="preserve"> monitor bone loss.</w:t>
      </w:r>
      <w:r w:rsidR="00AB1F73">
        <w:t xml:space="preserve"> </w:t>
      </w:r>
      <w:r w:rsidR="00F6333E">
        <w:t xml:space="preserve">It will compare the MRI against other scanning techniques. </w:t>
      </w:r>
      <w:r w:rsidR="009F60D5">
        <w:t xml:space="preserve">This study is funded by </w:t>
      </w:r>
      <w:r w:rsidR="009F60D5" w:rsidRPr="009F60D5">
        <w:t>National Aeronautics and Space Administration</w:t>
      </w:r>
      <w:r w:rsidR="009F60D5">
        <w:t xml:space="preserve"> (NASA). </w:t>
      </w:r>
    </w:p>
    <w:p w14:paraId="23DB82E3" w14:textId="6102CD3A" w:rsidR="00925C8B" w:rsidRDefault="007D40E1" w:rsidP="00A97AD4">
      <w:r w:rsidRPr="002561FA">
        <w:rPr>
          <w:b/>
          <w:bCs/>
        </w:rPr>
        <w:t>Study Duration</w:t>
      </w:r>
      <w:r w:rsidR="00925C8B">
        <w:t xml:space="preserve">: </w:t>
      </w:r>
      <w:r w:rsidR="00A70E7C" w:rsidRPr="002561FA">
        <w:t>Total of</w:t>
      </w:r>
      <w:r w:rsidR="00A70E7C">
        <w:t xml:space="preserve"> </w:t>
      </w:r>
      <w:r w:rsidR="004E0A62">
        <w:t xml:space="preserve">1-2 </w:t>
      </w:r>
      <w:r w:rsidR="00A70E7C">
        <w:t>visit</w:t>
      </w:r>
      <w:r w:rsidR="008E63DE">
        <w:t>s</w:t>
      </w:r>
      <w:r w:rsidR="004E0A62">
        <w:t xml:space="preserve">. </w:t>
      </w:r>
      <w:r w:rsidR="006A742E">
        <w:t>Participants with s</w:t>
      </w:r>
      <w:r w:rsidR="006A742E" w:rsidRPr="006A742E">
        <w:t xml:space="preserve">pinal cord injury </w:t>
      </w:r>
      <w:r w:rsidR="004E0A62">
        <w:t xml:space="preserve">will complete </w:t>
      </w:r>
      <w:r w:rsidR="009F60D5">
        <w:t>(</w:t>
      </w:r>
      <w:r w:rsidR="004E0A62">
        <w:t>2</w:t>
      </w:r>
      <w:r w:rsidR="009F60D5">
        <w:t>)</w:t>
      </w:r>
      <w:r w:rsidR="004E0A62">
        <w:t xml:space="preserve"> visits over the span of </w:t>
      </w:r>
      <w:r w:rsidR="009F60D5">
        <w:t>(</w:t>
      </w:r>
      <w:r w:rsidR="004E0A62">
        <w:t>1</w:t>
      </w:r>
      <w:r w:rsidR="009F60D5">
        <w:t>)</w:t>
      </w:r>
      <w:r w:rsidR="004E0A62">
        <w:t xml:space="preserve"> year.</w:t>
      </w:r>
      <w:r w:rsidR="00473F67">
        <w:t xml:space="preserve"> Healthy control participants will complete (1) </w:t>
      </w:r>
      <w:proofErr w:type="gramStart"/>
      <w:r w:rsidR="00473F67">
        <w:t>visit</w:t>
      </w:r>
      <w:proofErr w:type="gramEnd"/>
      <w:r w:rsidR="00473F67">
        <w:t xml:space="preserve"> lasting approximately 4 hours.</w:t>
      </w:r>
    </w:p>
    <w:p w14:paraId="6C74E094" w14:textId="77777777" w:rsidR="00925C8B" w:rsidRDefault="007D40E1" w:rsidP="00925C8B">
      <w:pPr>
        <w:spacing w:after="0" w:line="240" w:lineRule="auto"/>
        <w:rPr>
          <w:b/>
          <w:bCs/>
        </w:rPr>
      </w:pPr>
      <w:r w:rsidRPr="00925C8B">
        <w:rPr>
          <w:b/>
          <w:bCs/>
        </w:rPr>
        <w:t>Who can participate</w:t>
      </w:r>
      <w:r w:rsidR="00925C8B" w:rsidRPr="00925C8B">
        <w:rPr>
          <w:b/>
          <w:bCs/>
        </w:rPr>
        <w:t>?</w:t>
      </w:r>
    </w:p>
    <w:p w14:paraId="2CEB2484" w14:textId="6FF989BE" w:rsidR="007D40E1" w:rsidRPr="00925C8B" w:rsidRDefault="00925C8B" w:rsidP="00925C8B">
      <w:pPr>
        <w:spacing w:after="0" w:line="240" w:lineRule="auto"/>
        <w:rPr>
          <w:b/>
          <w:bCs/>
        </w:rPr>
      </w:pPr>
      <w:r>
        <w:t xml:space="preserve">  </w:t>
      </w:r>
      <w:r w:rsidR="000377F4">
        <w:t>You may be eligible to participate in this study if you:</w:t>
      </w:r>
    </w:p>
    <w:p w14:paraId="44D82761" w14:textId="77777777" w:rsidR="008E63DE" w:rsidRPr="005157DC" w:rsidRDefault="00FD7B21" w:rsidP="008E63DE">
      <w:pPr>
        <w:pStyle w:val="ListParagraph"/>
        <w:numPr>
          <w:ilvl w:val="0"/>
          <w:numId w:val="3"/>
        </w:numPr>
      </w:pPr>
      <w:r w:rsidRPr="005157DC">
        <w:t>Are 18-65 years of age</w:t>
      </w:r>
    </w:p>
    <w:p w14:paraId="661CAB99" w14:textId="53DE6D73" w:rsidR="004E0A62" w:rsidRDefault="004E0A62" w:rsidP="008E63DE">
      <w:pPr>
        <w:pStyle w:val="ListParagraph"/>
        <w:numPr>
          <w:ilvl w:val="0"/>
          <w:numId w:val="3"/>
        </w:numPr>
      </w:pPr>
      <w:r>
        <w:t>Fit into one of the two categories below:</w:t>
      </w:r>
    </w:p>
    <w:p w14:paraId="616DE886" w14:textId="221575CE" w:rsidR="007D40E1" w:rsidRPr="005157DC" w:rsidRDefault="005157DC" w:rsidP="004E0A62">
      <w:pPr>
        <w:pStyle w:val="ListParagraph"/>
        <w:numPr>
          <w:ilvl w:val="1"/>
          <w:numId w:val="3"/>
        </w:numPr>
      </w:pPr>
      <w:r>
        <w:t>Have</w:t>
      </w:r>
      <w:r w:rsidR="00FD7B21" w:rsidRPr="005157DC">
        <w:t xml:space="preserve"> sustained a spinal cord injury </w:t>
      </w:r>
      <w:r w:rsidR="00473F67">
        <w:t xml:space="preserve">(SCI) </w:t>
      </w:r>
      <w:r w:rsidR="00FD7B21" w:rsidRPr="005157DC">
        <w:t>in the past 2.5 years</w:t>
      </w:r>
    </w:p>
    <w:p w14:paraId="1A22E764" w14:textId="168F4C5C" w:rsidR="00FD7B21" w:rsidRPr="005157DC" w:rsidRDefault="00473F67" w:rsidP="00FD7B21">
      <w:pPr>
        <w:pStyle w:val="ListParagraph"/>
        <w:numPr>
          <w:ilvl w:val="2"/>
          <w:numId w:val="3"/>
        </w:numPr>
      </w:pPr>
      <w:r>
        <w:t>SCI</w:t>
      </w:r>
      <w:r w:rsidR="00FD7B21" w:rsidRPr="005157DC">
        <w:t xml:space="preserve"> </w:t>
      </w:r>
      <w:r>
        <w:t>must be</w:t>
      </w:r>
      <w:r w:rsidR="00FD7B21" w:rsidRPr="005157DC">
        <w:t xml:space="preserve"> due to </w:t>
      </w:r>
      <w:r>
        <w:t>trauma/force (ex: car accident, fall, sports, etc.)</w:t>
      </w:r>
    </w:p>
    <w:p w14:paraId="16C7DCFE" w14:textId="6CF0AD38" w:rsidR="005157DC" w:rsidRDefault="00FD7B21" w:rsidP="005157DC">
      <w:pPr>
        <w:pStyle w:val="ListParagraph"/>
        <w:numPr>
          <w:ilvl w:val="2"/>
          <w:numId w:val="3"/>
        </w:numPr>
      </w:pPr>
      <w:r w:rsidRPr="005157DC">
        <w:t>Must be either AIS A, B, or C</w:t>
      </w:r>
    </w:p>
    <w:p w14:paraId="2510F36D" w14:textId="7C69D68C" w:rsidR="00925C8B" w:rsidRPr="004E0A62" w:rsidRDefault="004E0A62" w:rsidP="004E0A62">
      <w:pPr>
        <w:pStyle w:val="ListParagraph"/>
        <w:numPr>
          <w:ilvl w:val="1"/>
          <w:numId w:val="3"/>
        </w:numPr>
        <w:rPr>
          <w:i/>
          <w:iCs/>
        </w:rPr>
      </w:pPr>
      <w:r>
        <w:t xml:space="preserve">Have no major health </w:t>
      </w:r>
      <w:r w:rsidR="00473F67">
        <w:t>issues</w:t>
      </w:r>
      <w:r>
        <w:t xml:space="preserve"> </w:t>
      </w:r>
      <w:r w:rsidRPr="004E0A62">
        <w:rPr>
          <w:i/>
          <w:iCs/>
        </w:rPr>
        <w:t xml:space="preserve">(contact the study team if you are </w:t>
      </w:r>
      <w:r w:rsidR="00473F67">
        <w:rPr>
          <w:i/>
          <w:iCs/>
        </w:rPr>
        <w:t>unsure if you qualify)</w:t>
      </w:r>
    </w:p>
    <w:p w14:paraId="3637B823" w14:textId="5F9BDFDF" w:rsidR="002561FA" w:rsidRPr="00925C8B" w:rsidRDefault="00925C8B" w:rsidP="00A97AD4">
      <w:pPr>
        <w:rPr>
          <w:i/>
          <w:iCs/>
        </w:rPr>
      </w:pPr>
      <w:r w:rsidRPr="00925C8B">
        <w:rPr>
          <w:i/>
          <w:iCs/>
        </w:rPr>
        <w:t>Note: Each study has its own eligibility requirements. A screening will determine if you qualify.</w:t>
      </w:r>
    </w:p>
    <w:p w14:paraId="068EE34E" w14:textId="5CD8CD68" w:rsidR="00925C8B" w:rsidRPr="00925C8B" w:rsidRDefault="00925C8B" w:rsidP="00925C8B">
      <w:pPr>
        <w:spacing w:after="0"/>
        <w:rPr>
          <w:b/>
          <w:bCs/>
        </w:rPr>
      </w:pPr>
      <w:r w:rsidRPr="00925C8B">
        <w:rPr>
          <w:b/>
          <w:bCs/>
        </w:rPr>
        <w:t>What is Involved?</w:t>
      </w:r>
    </w:p>
    <w:p w14:paraId="23E3FDA3" w14:textId="5ABA819F" w:rsidR="00925C8B" w:rsidRDefault="00925C8B" w:rsidP="00925C8B">
      <w:pPr>
        <w:spacing w:after="0"/>
      </w:pPr>
      <w:r>
        <w:t>Time Commitment:</w:t>
      </w:r>
      <w:r w:rsidR="00FD7B21">
        <w:t xml:space="preserve"> 4 hours</w:t>
      </w:r>
      <w:r w:rsidR="008E63DE">
        <w:t xml:space="preserve"> per visit</w:t>
      </w:r>
      <w:r w:rsidR="00FD7B21">
        <w:t xml:space="preserve"> (can be broken into multiple days or done all at once)</w:t>
      </w:r>
      <w:r w:rsidR="004D57A1">
        <w:t xml:space="preserve">. </w:t>
      </w:r>
      <w:r w:rsidR="004E0A62">
        <w:t xml:space="preserve">For </w:t>
      </w:r>
      <w:r w:rsidR="00473F67">
        <w:t xml:space="preserve">participants with </w:t>
      </w:r>
      <w:r w:rsidR="004E0A62">
        <w:t>spinal cord injury, a</w:t>
      </w:r>
      <w:r w:rsidR="004D57A1">
        <w:t xml:space="preserve"> total of 2 visits is required. </w:t>
      </w:r>
      <w:r w:rsidR="00022A44">
        <w:t>For controls, only 1 visit is required.</w:t>
      </w:r>
    </w:p>
    <w:p w14:paraId="6ADBE67F" w14:textId="77777777" w:rsidR="00022A44" w:rsidRDefault="00022A44" w:rsidP="00925C8B">
      <w:pPr>
        <w:spacing w:after="0"/>
      </w:pPr>
    </w:p>
    <w:p w14:paraId="295AEA19" w14:textId="408405EC" w:rsidR="00925C8B" w:rsidRPr="00AA522C" w:rsidRDefault="00925C8B" w:rsidP="00925C8B">
      <w:pPr>
        <w:spacing w:after="0"/>
        <w:rPr>
          <w:b/>
          <w:bCs/>
        </w:rPr>
      </w:pPr>
      <w:r w:rsidRPr="00AA522C">
        <w:rPr>
          <w:b/>
          <w:bCs/>
        </w:rPr>
        <w:t xml:space="preserve">Participation may include: </w:t>
      </w:r>
    </w:p>
    <w:p w14:paraId="2551E006" w14:textId="7B0B4D6B" w:rsidR="00925C8B" w:rsidRPr="00A0027D" w:rsidRDefault="00925C8B" w:rsidP="00925C8B">
      <w:pPr>
        <w:pStyle w:val="ListParagraph"/>
        <w:numPr>
          <w:ilvl w:val="0"/>
          <w:numId w:val="5"/>
        </w:numPr>
      </w:pPr>
      <w:r w:rsidRPr="00A0027D">
        <w:t>Lab tests (blood</w:t>
      </w:r>
      <w:r w:rsidR="00FD7B21" w:rsidRPr="00A0027D">
        <w:t>)</w:t>
      </w:r>
    </w:p>
    <w:p w14:paraId="72806AF8" w14:textId="0D10F73E" w:rsidR="00925C8B" w:rsidRPr="00A0027D" w:rsidRDefault="00FD7B21" w:rsidP="00925C8B">
      <w:pPr>
        <w:pStyle w:val="ListParagraph"/>
        <w:numPr>
          <w:ilvl w:val="0"/>
          <w:numId w:val="5"/>
        </w:numPr>
      </w:pPr>
      <w:r w:rsidRPr="00A0027D">
        <w:t>Screening of medical history</w:t>
      </w:r>
    </w:p>
    <w:p w14:paraId="218B00AA" w14:textId="02052F7A" w:rsidR="00FD7B21" w:rsidRPr="00A0027D" w:rsidRDefault="00FD7B21" w:rsidP="00FD7B21">
      <w:pPr>
        <w:pStyle w:val="ListParagraph"/>
        <w:numPr>
          <w:ilvl w:val="0"/>
          <w:numId w:val="5"/>
        </w:numPr>
      </w:pPr>
      <w:r w:rsidRPr="00A0027D">
        <w:t xml:space="preserve">MRI </w:t>
      </w:r>
      <w:r w:rsidR="00115FC6" w:rsidRPr="00A0027D">
        <w:t>s</w:t>
      </w:r>
      <w:r w:rsidRPr="00A0027D">
        <w:t>can</w:t>
      </w:r>
      <w:r w:rsidR="00F6333E" w:rsidRPr="00A0027D">
        <w:t xml:space="preserve"> of bones in hip and ankle.</w:t>
      </w:r>
    </w:p>
    <w:p w14:paraId="47E6EF50" w14:textId="1DDD3238" w:rsidR="00022A44" w:rsidRPr="00A0027D" w:rsidRDefault="00022A44" w:rsidP="00FD7B21">
      <w:pPr>
        <w:pStyle w:val="ListParagraph"/>
        <w:numPr>
          <w:ilvl w:val="0"/>
          <w:numId w:val="5"/>
        </w:numPr>
      </w:pPr>
      <w:r w:rsidRPr="00A0027D">
        <w:t>Dual-energy X-ray absorptiometry (DXA)</w:t>
      </w:r>
      <w:r w:rsidR="00F6333E" w:rsidRPr="00A0027D">
        <w:t xml:space="preserve"> scan of bones in hips, knees, and spine.</w:t>
      </w:r>
    </w:p>
    <w:p w14:paraId="52F856D3" w14:textId="1CDE02A5" w:rsidR="00FD7B21" w:rsidRPr="00A0027D" w:rsidRDefault="00022A44" w:rsidP="00FD7B21">
      <w:pPr>
        <w:pStyle w:val="ListParagraph"/>
        <w:numPr>
          <w:ilvl w:val="0"/>
          <w:numId w:val="5"/>
        </w:numPr>
      </w:pPr>
      <w:r w:rsidRPr="00A0027D">
        <w:t>High-Resolution Peripheral Quantitative Computed Tomography (</w:t>
      </w:r>
      <w:proofErr w:type="spellStart"/>
      <w:r w:rsidRPr="00A0027D">
        <w:t>HRpQCT</w:t>
      </w:r>
      <w:proofErr w:type="spellEnd"/>
      <w:r w:rsidRPr="00A0027D">
        <w:t xml:space="preserve">) </w:t>
      </w:r>
      <w:r w:rsidR="00F6333E" w:rsidRPr="00A0027D">
        <w:t>scan of wrist &amp; ankle.</w:t>
      </w:r>
    </w:p>
    <w:p w14:paraId="451D87D6" w14:textId="654B9E76" w:rsidR="004A03A0" w:rsidRDefault="00925C8B" w:rsidP="00022A44">
      <w:r w:rsidRPr="00AA522C">
        <w:rPr>
          <w:b/>
          <w:bCs/>
        </w:rPr>
        <w:t>Compensation:</w:t>
      </w:r>
      <w:r>
        <w:t xml:space="preserve"> </w:t>
      </w:r>
      <w:r w:rsidR="00CB5094">
        <w:t>$200</w:t>
      </w:r>
      <w:r w:rsidR="005157DC">
        <w:t xml:space="preserve"> per visit</w:t>
      </w:r>
    </w:p>
    <w:p w14:paraId="0809CD28" w14:textId="3F67696B" w:rsidR="00925C8B" w:rsidRPr="004E0A62" w:rsidRDefault="00F06FCB" w:rsidP="00925C8B">
      <w:pPr>
        <w:spacing w:after="0" w:line="240" w:lineRule="auto"/>
      </w:pPr>
      <w:r w:rsidRPr="00AA522C">
        <w:rPr>
          <w:b/>
          <w:bCs/>
        </w:rPr>
        <w:t>Contact:</w:t>
      </w:r>
      <w:r>
        <w:t xml:space="preserve">     Name</w:t>
      </w:r>
      <w:r w:rsidR="00925C8B">
        <w:t xml:space="preserve">: </w:t>
      </w:r>
      <w:r w:rsidR="00CB5094">
        <w:t>Emily Moran</w:t>
      </w:r>
      <w:r w:rsidR="00925C8B">
        <w:tab/>
      </w:r>
      <w:r>
        <w:t xml:space="preserve"> Phone</w:t>
      </w:r>
      <w:r w:rsidR="00925C8B">
        <w:t xml:space="preserve">: </w:t>
      </w:r>
      <w:r w:rsidR="00CB5094">
        <w:t>804-933-3923</w:t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>
        <w:tab/>
      </w:r>
      <w:r w:rsidR="00925C8B" w:rsidRPr="00241D92">
        <w:rPr>
          <w:color w:val="FF0000"/>
        </w:rPr>
        <w:t xml:space="preserve"> </w:t>
      </w:r>
      <w:r w:rsidR="00925C8B">
        <w:tab/>
      </w:r>
    </w:p>
    <w:p w14:paraId="57AE947B" w14:textId="400572CD" w:rsidR="00E573AE" w:rsidRDefault="00E573AE" w:rsidP="00925C8B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</w:t>
      </w:r>
      <w:r w:rsidR="0047030F">
        <w:t xml:space="preserve"> </w:t>
      </w:r>
      <w:r>
        <w:t xml:space="preserve"> </w:t>
      </w:r>
    </w:p>
    <w:p w14:paraId="04CDCE9A" w14:textId="34166DAE" w:rsidR="00BC329A" w:rsidRPr="005B588F" w:rsidRDefault="00925C8B" w:rsidP="004A03A0">
      <w:pPr>
        <w:spacing w:after="0" w:line="240" w:lineRule="auto"/>
        <w:rPr>
          <w:i/>
          <w:iCs/>
          <w:color w:val="FF0000"/>
        </w:rPr>
      </w:pPr>
      <w:r w:rsidRPr="00AA522C">
        <w:rPr>
          <w:b/>
          <w:bCs/>
        </w:rPr>
        <w:t>Investigator:</w:t>
      </w:r>
      <w:r>
        <w:t xml:space="preserve"> </w:t>
      </w:r>
      <w:r w:rsidR="00CB5094">
        <w:t>Robert Adler,</w:t>
      </w:r>
      <w:r w:rsidR="003D0A47">
        <w:t xml:space="preserve"> MD</w:t>
      </w:r>
      <w:r>
        <w:t xml:space="preserve">          </w:t>
      </w:r>
      <w:r w:rsidR="00BC329A">
        <w:tab/>
      </w:r>
      <w:r w:rsidR="00BC329A">
        <w:tab/>
      </w:r>
      <w:r w:rsidR="00CB5094">
        <w:tab/>
      </w:r>
      <w:r w:rsidR="00BC329A">
        <w:tab/>
      </w:r>
      <w:r w:rsidR="005B588F">
        <w:t xml:space="preserve">              </w:t>
      </w:r>
      <w:r w:rsidR="00110A1E">
        <w:rPr>
          <w:i/>
          <w:iCs/>
          <w:color w:val="FF0000"/>
        </w:rPr>
        <w:t xml:space="preserve">IRB of Record: </w:t>
      </w:r>
      <w:r w:rsidR="008E63DE">
        <w:rPr>
          <w:i/>
          <w:iCs/>
          <w:color w:val="FF0000"/>
        </w:rPr>
        <w:t>Richmond VA IRB</w:t>
      </w:r>
    </w:p>
    <w:p w14:paraId="16494094" w14:textId="34FEFE3D" w:rsidR="00BC329A" w:rsidRPr="005B588F" w:rsidRDefault="00925C8B" w:rsidP="004A03A0">
      <w:pPr>
        <w:spacing w:after="0" w:line="240" w:lineRule="auto"/>
        <w:rPr>
          <w:i/>
          <w:iCs/>
        </w:rPr>
      </w:pPr>
      <w:r w:rsidRPr="005B588F">
        <w:rPr>
          <w:i/>
          <w:iCs/>
        </w:rPr>
        <w:t xml:space="preserve">    </w:t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BC329A" w:rsidRPr="005B588F">
        <w:rPr>
          <w:i/>
          <w:iCs/>
        </w:rPr>
        <w:tab/>
      </w:r>
      <w:r w:rsidR="005B588F" w:rsidRPr="005B588F">
        <w:rPr>
          <w:i/>
          <w:iCs/>
        </w:rPr>
        <w:t xml:space="preserve">             </w:t>
      </w:r>
      <w:r w:rsidRPr="005B588F">
        <w:rPr>
          <w:i/>
          <w:iCs/>
        </w:rPr>
        <w:t xml:space="preserve"> </w:t>
      </w:r>
      <w:r w:rsidR="00BC329A" w:rsidRPr="005B588F">
        <w:rPr>
          <w:i/>
          <w:iCs/>
          <w:color w:val="FF0000"/>
        </w:rPr>
        <w:t xml:space="preserve">IRBNET </w:t>
      </w:r>
      <w:r w:rsidR="00BC329A" w:rsidRPr="00A0027D">
        <w:rPr>
          <w:i/>
          <w:iCs/>
          <w:color w:val="FF0000"/>
        </w:rPr>
        <w:t xml:space="preserve">#: </w:t>
      </w:r>
      <w:r w:rsidR="00AB1F73" w:rsidRPr="00A0027D">
        <w:rPr>
          <w:i/>
          <w:iCs/>
          <w:color w:val="FF0000"/>
        </w:rPr>
        <w:t>1773410</w:t>
      </w:r>
    </w:p>
    <w:p w14:paraId="3B17E5D3" w14:textId="31CB28E7" w:rsidR="004E0A62" w:rsidRPr="004E0A62" w:rsidRDefault="00BC329A" w:rsidP="004A03A0">
      <w:pPr>
        <w:spacing w:after="0" w:line="240" w:lineRule="auto"/>
        <w:rPr>
          <w:i/>
          <w:iCs/>
        </w:rPr>
      </w:pP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</w:r>
      <w:r w:rsidRPr="005B588F">
        <w:rPr>
          <w:i/>
          <w:iCs/>
        </w:rPr>
        <w:tab/>
        <w:t xml:space="preserve">    </w:t>
      </w:r>
      <w:r w:rsidRPr="005B588F">
        <w:rPr>
          <w:i/>
          <w:iCs/>
        </w:rPr>
        <w:tab/>
      </w:r>
      <w:r w:rsidRPr="005B588F">
        <w:rPr>
          <w:i/>
          <w:iCs/>
        </w:rPr>
        <w:tab/>
        <w:t xml:space="preserve">        </w:t>
      </w:r>
      <w:r w:rsidR="00925C8B" w:rsidRPr="005B588F">
        <w:rPr>
          <w:i/>
          <w:iCs/>
        </w:rPr>
        <w:t xml:space="preserve">     </w:t>
      </w:r>
      <w:r w:rsidR="005B588F" w:rsidRPr="005B588F">
        <w:rPr>
          <w:i/>
          <w:iCs/>
        </w:rPr>
        <w:t xml:space="preserve"> </w:t>
      </w:r>
      <w:r w:rsidRPr="005B588F">
        <w:rPr>
          <w:i/>
          <w:iCs/>
          <w:color w:val="FF0000"/>
        </w:rPr>
        <w:t xml:space="preserve">IRB Approval Date: </w:t>
      </w:r>
      <w:r w:rsidR="00A0027D">
        <w:rPr>
          <w:i/>
          <w:iCs/>
          <w:color w:val="FF0000"/>
        </w:rPr>
        <w:t>03/03/2026</w:t>
      </w:r>
    </w:p>
    <w:p w14:paraId="2D160DB3" w14:textId="651A400B" w:rsidR="00925C8B" w:rsidRPr="005B588F" w:rsidRDefault="00BC329A" w:rsidP="004A03A0">
      <w:pPr>
        <w:spacing w:after="0" w:line="240" w:lineRule="auto"/>
      </w:pPr>
      <w:r w:rsidRPr="005B588F">
        <w:t>Version 2: Dated 10/21/2025</w:t>
      </w:r>
      <w:r w:rsidR="00925C8B" w:rsidRPr="005B588F">
        <w:tab/>
        <w:t xml:space="preserve"> </w:t>
      </w:r>
    </w:p>
    <w:sectPr w:rsidR="00925C8B" w:rsidRPr="005B588F" w:rsidSect="00F06FCB">
      <w:pgSz w:w="12240" w:h="15840"/>
      <w:pgMar w:top="720" w:right="720" w:bottom="720" w:left="72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4AE6" w14:textId="77777777" w:rsidR="000377F4" w:rsidRDefault="000377F4" w:rsidP="000377F4">
      <w:pPr>
        <w:spacing w:after="0" w:line="240" w:lineRule="auto"/>
      </w:pPr>
      <w:r>
        <w:separator/>
      </w:r>
    </w:p>
  </w:endnote>
  <w:endnote w:type="continuationSeparator" w:id="0">
    <w:p w14:paraId="421FAC01" w14:textId="77777777" w:rsidR="000377F4" w:rsidRDefault="000377F4" w:rsidP="000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5846" w14:textId="77777777" w:rsidR="000377F4" w:rsidRDefault="000377F4" w:rsidP="000377F4">
      <w:pPr>
        <w:spacing w:after="0" w:line="240" w:lineRule="auto"/>
      </w:pPr>
      <w:r>
        <w:separator/>
      </w:r>
    </w:p>
  </w:footnote>
  <w:footnote w:type="continuationSeparator" w:id="0">
    <w:p w14:paraId="10375448" w14:textId="77777777" w:rsidR="000377F4" w:rsidRDefault="000377F4" w:rsidP="000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731"/>
    <w:multiLevelType w:val="hybridMultilevel"/>
    <w:tmpl w:val="71AC59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A386A"/>
    <w:multiLevelType w:val="hybridMultilevel"/>
    <w:tmpl w:val="D74E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EE0"/>
    <w:multiLevelType w:val="hybridMultilevel"/>
    <w:tmpl w:val="AF8E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3969"/>
    <w:multiLevelType w:val="hybridMultilevel"/>
    <w:tmpl w:val="67E0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D252C"/>
    <w:multiLevelType w:val="hybridMultilevel"/>
    <w:tmpl w:val="AAEE1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937340">
    <w:abstractNumId w:val="1"/>
  </w:num>
  <w:num w:numId="2" w16cid:durableId="1673952459">
    <w:abstractNumId w:val="3"/>
  </w:num>
  <w:num w:numId="3" w16cid:durableId="372386291">
    <w:abstractNumId w:val="0"/>
  </w:num>
  <w:num w:numId="4" w16cid:durableId="2041666384">
    <w:abstractNumId w:val="4"/>
  </w:num>
  <w:num w:numId="5" w16cid:durableId="152724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D4"/>
    <w:rsid w:val="00022A44"/>
    <w:rsid w:val="000377F4"/>
    <w:rsid w:val="00072BED"/>
    <w:rsid w:val="0009291A"/>
    <w:rsid w:val="00110A1E"/>
    <w:rsid w:val="00115FC6"/>
    <w:rsid w:val="00127587"/>
    <w:rsid w:val="00170654"/>
    <w:rsid w:val="001D29D2"/>
    <w:rsid w:val="001D4512"/>
    <w:rsid w:val="001E7192"/>
    <w:rsid w:val="00241D92"/>
    <w:rsid w:val="002561FA"/>
    <w:rsid w:val="00290008"/>
    <w:rsid w:val="00300968"/>
    <w:rsid w:val="003903E8"/>
    <w:rsid w:val="003D0A47"/>
    <w:rsid w:val="0040704B"/>
    <w:rsid w:val="0047030F"/>
    <w:rsid w:val="00473F67"/>
    <w:rsid w:val="004A03A0"/>
    <w:rsid w:val="004D57A1"/>
    <w:rsid w:val="004E0A62"/>
    <w:rsid w:val="005157DC"/>
    <w:rsid w:val="00543900"/>
    <w:rsid w:val="005B588F"/>
    <w:rsid w:val="00673FBB"/>
    <w:rsid w:val="0067623F"/>
    <w:rsid w:val="006A742E"/>
    <w:rsid w:val="006B71FF"/>
    <w:rsid w:val="006D5512"/>
    <w:rsid w:val="007D40E1"/>
    <w:rsid w:val="008E63DE"/>
    <w:rsid w:val="00904662"/>
    <w:rsid w:val="00925C8B"/>
    <w:rsid w:val="00934556"/>
    <w:rsid w:val="00983409"/>
    <w:rsid w:val="009F60D5"/>
    <w:rsid w:val="00A0027D"/>
    <w:rsid w:val="00A70E7C"/>
    <w:rsid w:val="00A97AD4"/>
    <w:rsid w:val="00AA522C"/>
    <w:rsid w:val="00AB1F73"/>
    <w:rsid w:val="00B02127"/>
    <w:rsid w:val="00B57151"/>
    <w:rsid w:val="00BC329A"/>
    <w:rsid w:val="00BD5510"/>
    <w:rsid w:val="00C2446D"/>
    <w:rsid w:val="00CB5094"/>
    <w:rsid w:val="00CD0B9A"/>
    <w:rsid w:val="00DB3DCB"/>
    <w:rsid w:val="00DC0E4E"/>
    <w:rsid w:val="00E573AE"/>
    <w:rsid w:val="00E64ABA"/>
    <w:rsid w:val="00F04CD2"/>
    <w:rsid w:val="00F06FCB"/>
    <w:rsid w:val="00F132A2"/>
    <w:rsid w:val="00F6333E"/>
    <w:rsid w:val="00F67C25"/>
    <w:rsid w:val="00FB3559"/>
    <w:rsid w:val="00FD069F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6A2F1"/>
  <w15:chartTrackingRefBased/>
  <w15:docId w15:val="{63C86AD0-88AE-4F1E-8018-D06D91A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D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0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77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7F4"/>
  </w:style>
  <w:style w:type="paragraph" w:styleId="Footer">
    <w:name w:val="footer"/>
    <w:basedOn w:val="Normal"/>
    <w:link w:val="FooterChar"/>
    <w:uiPriority w:val="99"/>
    <w:unhideWhenUsed/>
    <w:rsid w:val="00037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182D.DBFDCA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image001.png@01DC02E0.50E3D2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1712</Characters>
  <Application>Microsoft Office Word</Application>
  <DocSecurity>0</DocSecurity>
  <Lines>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Underwood, Sheryl  RICVAMC</dc:creator>
  <cp:keywords/>
  <dc:description/>
  <cp:lastModifiedBy>Underwood, Sheryl  RICVAMC</cp:lastModifiedBy>
  <cp:revision>2</cp:revision>
  <dcterms:created xsi:type="dcterms:W3CDTF">2026-03-20T16:13:00Z</dcterms:created>
  <dcterms:modified xsi:type="dcterms:W3CDTF">2026-03-20T16:13:00Z</dcterms:modified>
</cp:coreProperties>
</file>